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start="4646" w:end="0"/>
        <w:rPr>
          <w:rFonts w:ascii="Times New Roman" w:hAnsi="Times New Roman"/>
        </w:rPr>
      </w:pPr>
      <w:r>
        <w:rPr/>
        <mc:AlternateContent>
          <mc:Choice Requires="wps">
            <w:drawing>
              <wp:anchor distT="635" distB="635" distL="635" distR="635" simplePos="0" relativeHeight="5" behindDoc="0" locked="0" layoutInCell="0" allowOverlap="1">
                <wp:simplePos x="0" y="0"/>
                <wp:positionH relativeFrom="page">
                  <wp:posOffset>226060</wp:posOffset>
                </wp:positionH>
                <wp:positionV relativeFrom="page">
                  <wp:posOffset>1932940</wp:posOffset>
                </wp:positionV>
                <wp:extent cx="7083425" cy="1270"/>
                <wp:effectExtent l="635" t="635" r="635" b="635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83360" cy="1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.8pt,152.2pt" to="575.5pt,152.25pt" stroked="t" o:allowincell="f" style="position:absolute;flip:y;mso-position-horizontal-relative:page;mso-position-vertical-relative:pag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467360" cy="64008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9" w:after="0"/>
        <w:ind w:hanging="0" w:start="1399" w:end="138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UNIVERSIDADE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SERGIPE</w:t>
      </w:r>
    </w:p>
    <w:p>
      <w:pPr>
        <w:pStyle w:val="Normal"/>
        <w:spacing w:before="0" w:after="0"/>
        <w:ind w:hanging="0" w:start="1390" w:end="138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PRÓ-REITORIA</w:t>
      </w:r>
      <w:r>
        <w:rPr>
          <w:rFonts w:ascii="Arial" w:hAnsi="Arial"/>
          <w:b/>
          <w:spacing w:val="-8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PÓS-GRADUAÇÃO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PESQUISA</w:t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spacing w:before="2"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Title"/>
        <w:rPr/>
      </w:pPr>
      <w:bookmarkStart w:id="0" w:name="TERMO_DE_RENÚNCIA_DE_DIÁRIAS_E%2525252FO"/>
      <w:bookmarkEnd w:id="0"/>
      <w:r>
        <w:rPr/>
        <w:t>TERMO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RENÚNCIA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DIÁRIAS</w:t>
      </w:r>
      <w:r>
        <w:rPr>
          <w:spacing w:val="-5"/>
        </w:rPr>
        <w:t xml:space="preserve"> </w:t>
      </w:r>
      <w:r>
        <w:rPr/>
        <w:t>E/OU</w:t>
      </w:r>
      <w:r>
        <w:rPr>
          <w:spacing w:val="-4"/>
        </w:rPr>
        <w:t xml:space="preserve"> </w:t>
      </w:r>
      <w:r>
        <w:rPr/>
        <w:t>PASSAGENS</w:t>
      </w:r>
    </w:p>
    <w:p>
      <w:pPr>
        <w:pStyle w:val="BodyText"/>
        <w:spacing w:lineRule="auto" w:line="360" w:before="259" w:after="0"/>
        <w:ind w:hanging="0" w:start="117" w:end="106"/>
        <w:jc w:val="both"/>
        <w:rPr/>
      </w:pPr>
      <w:r>
        <w:rPr/>
        <w:t>Haja vista o disposto no artigo 58 da Lei nº 8.112, de 1990, o servidor que, a serviço, afastar-se da sede em</w:t>
      </w:r>
      <w:r>
        <w:rPr>
          <w:spacing w:val="1"/>
        </w:rPr>
        <w:t xml:space="preserve"> </w:t>
      </w:r>
      <w:r>
        <w:rPr/>
        <w:t>caráter eventual ou transitório para outro ponto do território nacional ou para o exterior, fará jus a passagens e</w:t>
      </w:r>
      <w:r>
        <w:rPr>
          <w:spacing w:val="1"/>
        </w:rPr>
        <w:t xml:space="preserve"> </w:t>
      </w:r>
      <w:r>
        <w:rPr/>
        <w:t>diárias</w:t>
      </w:r>
      <w:r>
        <w:rPr>
          <w:spacing w:val="-7"/>
        </w:rPr>
        <w:t xml:space="preserve"> </w:t>
      </w:r>
      <w:r>
        <w:rPr/>
        <w:t>destinadas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indenizar</w:t>
      </w:r>
      <w:r>
        <w:rPr>
          <w:spacing w:val="-6"/>
        </w:rPr>
        <w:t xml:space="preserve"> </w:t>
      </w:r>
      <w:r>
        <w:rPr/>
        <w:t>as</w:t>
      </w:r>
      <w:r>
        <w:rPr>
          <w:spacing w:val="-6"/>
        </w:rPr>
        <w:t xml:space="preserve"> </w:t>
      </w:r>
      <w:r>
        <w:rPr/>
        <w:t>parcelas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despesas</w:t>
      </w:r>
      <w:r>
        <w:rPr>
          <w:spacing w:val="-7"/>
        </w:rPr>
        <w:t xml:space="preserve"> </w:t>
      </w:r>
      <w:r>
        <w:rPr/>
        <w:t>extraordinárias</w:t>
      </w:r>
      <w:r>
        <w:rPr>
          <w:spacing w:val="-6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pousada,</w:t>
      </w:r>
      <w:r>
        <w:rPr>
          <w:spacing w:val="-7"/>
        </w:rPr>
        <w:t xml:space="preserve"> </w:t>
      </w:r>
      <w:r>
        <w:rPr/>
        <w:t>alimentação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locomoção</w:t>
      </w:r>
      <w:r>
        <w:rPr>
          <w:spacing w:val="1"/>
        </w:rPr>
        <w:t xml:space="preserve"> </w:t>
      </w:r>
      <w:r>
        <w:rPr/>
        <w:t>urbana,</w:t>
      </w:r>
      <w:r>
        <w:rPr>
          <w:spacing w:val="-2"/>
        </w:rPr>
        <w:t xml:space="preserve"> </w:t>
      </w:r>
      <w:r>
        <w:rPr/>
        <w:t>conforme</w:t>
      </w:r>
      <w:r>
        <w:rPr>
          <w:spacing w:val="-1"/>
        </w:rPr>
        <w:t xml:space="preserve"> </w:t>
      </w:r>
      <w:r>
        <w:rPr/>
        <w:t>dispuser</w:t>
      </w:r>
      <w:r>
        <w:rPr>
          <w:spacing w:val="-1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regulamento.</w:t>
      </w:r>
    </w:p>
    <w:p>
      <w:pPr>
        <w:pStyle w:val="BodyText"/>
        <w:spacing w:before="1" w:after="0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360" w:before="1" w:after="0"/>
        <w:ind w:hanging="0" w:start="117" w:end="105"/>
        <w:jc w:val="both"/>
        <w:rPr/>
      </w:pPr>
      <w:r>
        <w:rPr/>
        <w:t>Conforme</w:t>
      </w:r>
      <w:r>
        <w:rPr>
          <w:spacing w:val="1"/>
        </w:rPr>
        <w:t xml:space="preserve"> </w:t>
      </w:r>
      <w:r>
        <w:rPr/>
        <w:t>Nota</w:t>
      </w:r>
      <w:r>
        <w:rPr>
          <w:spacing w:val="1"/>
        </w:rPr>
        <w:t xml:space="preserve"> </w:t>
      </w:r>
      <w:r>
        <w:rPr/>
        <w:t>Informativa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421/2013/CGNOR/DENOP/SEGEP/MP,</w:t>
      </w:r>
      <w:r>
        <w:rPr>
          <w:spacing w:val="1"/>
        </w:rPr>
        <w:t xml:space="preserve"> </w:t>
      </w:r>
      <w:r>
        <w:rPr/>
        <w:t>coadunada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Nota</w:t>
      </w:r>
      <w:r>
        <w:rPr>
          <w:spacing w:val="1"/>
        </w:rPr>
        <w:t xml:space="preserve"> </w:t>
      </w:r>
      <w:r>
        <w:rPr/>
        <w:t>Técnica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11687/2018-MP, a indenização com diárias, assim como as passagens, possui natureza jurídica patrimonial</w:t>
      </w:r>
      <w:r>
        <w:rPr>
          <w:spacing w:val="1"/>
        </w:rPr>
        <w:t xml:space="preserve"> </w:t>
      </w:r>
      <w:r>
        <w:rPr/>
        <w:t>disponível, não havendo, portanto, impedimento jurídico para que haja renúncia pelo beneficiário quanto à sua</w:t>
      </w:r>
      <w:r>
        <w:rPr>
          <w:spacing w:val="1"/>
        </w:rPr>
        <w:t xml:space="preserve"> </w:t>
      </w:r>
      <w:r>
        <w:rPr/>
        <w:t>percepção.</w:t>
      </w:r>
    </w:p>
    <w:p>
      <w:pPr>
        <w:pStyle w:val="BodyText"/>
        <w:spacing w:before="1" w:after="0"/>
        <w:rPr>
          <w:sz w:val="18"/>
        </w:rPr>
      </w:pPr>
      <w:r>
        <w:rPr>
          <w:sz w:val="18"/>
        </w:rPr>
      </w:r>
    </w:p>
    <w:p>
      <w:pPr>
        <w:pStyle w:val="BodyText"/>
        <w:spacing w:lineRule="auto" w:line="360"/>
        <w:ind w:hanging="0" w:start="117" w:end="105"/>
        <w:jc w:val="both"/>
        <w:rPr/>
      </w:pPr>
      <w:r>
        <w:rPr/>
        <w:t>Assim, fica estabelecido que, no afastamento para comparecimento em eventos e evidenciando-se o interesse</w:t>
      </w:r>
      <w:r>
        <w:rPr>
          <w:spacing w:val="1"/>
        </w:rPr>
        <w:t xml:space="preserve"> </w:t>
      </w:r>
      <w:r>
        <w:rPr/>
        <w:t>da UFS, o beneficiário poderá renunciar, em caráter excepcional, total ou parcialmente, ao direito à diária e/ou</w:t>
      </w:r>
      <w:r>
        <w:rPr>
          <w:spacing w:val="1"/>
        </w:rPr>
        <w:t xml:space="preserve"> </w:t>
      </w:r>
      <w:r>
        <w:rPr/>
        <w:t>passagem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garantir</w:t>
      </w:r>
      <w:r>
        <w:rPr>
          <w:spacing w:val="-6"/>
        </w:rPr>
        <w:t xml:space="preserve"> </w:t>
      </w:r>
      <w:r>
        <w:rPr/>
        <w:t>sua</w:t>
      </w:r>
      <w:r>
        <w:rPr>
          <w:spacing w:val="-5"/>
        </w:rPr>
        <w:t xml:space="preserve"> </w:t>
      </w:r>
      <w:r>
        <w:rPr/>
        <w:t>presença</w:t>
      </w:r>
      <w:r>
        <w:rPr>
          <w:spacing w:val="-6"/>
        </w:rPr>
        <w:t xml:space="preserve"> </w:t>
      </w:r>
      <w:r>
        <w:rPr/>
        <w:t>nesses</w:t>
      </w:r>
      <w:r>
        <w:rPr>
          <w:spacing w:val="-6"/>
        </w:rPr>
        <w:t xml:space="preserve"> </w:t>
      </w:r>
      <w:r>
        <w:rPr/>
        <w:t>eventos,</w:t>
      </w:r>
      <w:r>
        <w:rPr>
          <w:spacing w:val="-6"/>
        </w:rPr>
        <w:t xml:space="preserve"> </w:t>
      </w:r>
      <w:r>
        <w:rPr/>
        <w:t>buscando</w:t>
      </w:r>
      <w:r>
        <w:rPr>
          <w:spacing w:val="-5"/>
        </w:rPr>
        <w:t xml:space="preserve"> </w:t>
      </w:r>
      <w:r>
        <w:rPr/>
        <w:t>outras</w:t>
      </w:r>
      <w:r>
        <w:rPr>
          <w:spacing w:val="-6"/>
        </w:rPr>
        <w:t xml:space="preserve"> </w:t>
      </w:r>
      <w:r>
        <w:rPr/>
        <w:t>formas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atendimento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essas</w:t>
      </w:r>
      <w:r>
        <w:rPr>
          <w:spacing w:val="-6"/>
        </w:rPr>
        <w:t xml:space="preserve"> </w:t>
      </w:r>
      <w:r>
        <w:rPr/>
        <w:t>despesas,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até</w:t>
      </w:r>
      <w:r>
        <w:rPr>
          <w:spacing w:val="-1"/>
        </w:rPr>
        <w:t xml:space="preserve"> </w:t>
      </w:r>
      <w:r>
        <w:rPr/>
        <w:t>assumindo,</w:t>
      </w:r>
      <w:r>
        <w:rPr>
          <w:spacing w:val="-1"/>
        </w:rPr>
        <w:t xml:space="preserve"> </w:t>
      </w:r>
      <w:r>
        <w:rPr/>
        <w:t>ele</w:t>
      </w:r>
      <w:r>
        <w:rPr>
          <w:spacing w:val="-1"/>
        </w:rPr>
        <w:t xml:space="preserve"> </w:t>
      </w:r>
      <w:r>
        <w:rPr/>
        <w:t>próprio,</w:t>
      </w:r>
      <w:r>
        <w:rPr>
          <w:spacing w:val="-2"/>
        </w:rPr>
        <w:t xml:space="preserve"> </w:t>
      </w:r>
      <w:r>
        <w:rPr/>
        <w:t>esses</w:t>
      </w:r>
      <w:r>
        <w:rPr>
          <w:spacing w:val="-1"/>
        </w:rPr>
        <w:t xml:space="preserve"> </w:t>
      </w:r>
      <w:r>
        <w:rPr/>
        <w:t>ônus.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721995</wp:posOffset>
                </wp:positionH>
                <wp:positionV relativeFrom="paragraph">
                  <wp:posOffset>125730</wp:posOffset>
                </wp:positionV>
                <wp:extent cx="6284595" cy="635"/>
                <wp:effectExtent l="3810" t="4445" r="4445" b="381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52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5pt,9.9pt" to="551.65pt,9.9pt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3951" w:leader="none"/>
        </w:tabs>
        <w:spacing w:lineRule="auto" w:line="360" w:before="93" w:after="0"/>
        <w:ind w:hanging="0" w:start="117" w:end="113"/>
        <w:rPr/>
      </w:pPr>
      <w:r>
        <w:rPr/>
        <w:t xml:space="preserve">Eu, </w:t>
      </w:r>
      <w:r>
        <w:rPr>
          <w:b/>
          <w:bCs/>
        </w:rPr>
        <w:t>---</w:t>
      </w:r>
      <w:r>
        <w:rPr>
          <w:rFonts w:ascii="Arial" w:hAnsi="Arial"/>
          <w:b/>
          <w:spacing w:val="67"/>
        </w:rPr>
        <w:t xml:space="preserve"> </w:t>
      </w:r>
      <w:r>
        <w:rPr/>
        <w:t>,</w:t>
      </w:r>
      <w:r>
        <w:rPr>
          <w:spacing w:val="108"/>
        </w:rPr>
        <w:t xml:space="preserve"> </w:t>
      </w:r>
      <w:r>
        <w:rPr/>
        <w:t>portador(a)</w:t>
      </w:r>
      <w:r>
        <w:rPr>
          <w:spacing w:val="109"/>
        </w:rPr>
        <w:t xml:space="preserve"> </w:t>
      </w:r>
      <w:r>
        <w:rPr/>
        <w:t>do</w:t>
      </w:r>
      <w:r>
        <w:rPr>
          <w:spacing w:val="107"/>
        </w:rPr>
        <w:t xml:space="preserve"> </w:t>
      </w:r>
      <w:r>
        <w:rPr/>
        <w:t>CPF</w:t>
      </w:r>
      <w:r>
        <w:rPr>
          <w:spacing w:val="107"/>
        </w:rPr>
        <w:t xml:space="preserve"> </w:t>
      </w:r>
      <w:r>
        <w:rPr/>
        <w:t xml:space="preserve">nº </w:t>
      </w:r>
      <w:r>
        <w:rPr>
          <w:b/>
          <w:bCs/>
        </w:rPr>
        <w:t>---</w:t>
      </w:r>
      <w:r>
        <w:rPr>
          <w:spacing w:val="65"/>
        </w:rPr>
        <w:t xml:space="preserve"> </w:t>
      </w:r>
      <w:r>
        <w:rPr/>
        <w:t>,</w:t>
      </w:r>
      <w:r>
        <w:rPr>
          <w:spacing w:val="34"/>
        </w:rPr>
        <w:t xml:space="preserve"> </w:t>
      </w:r>
      <w:r>
        <w:rPr/>
        <w:t>li</w:t>
      </w:r>
      <w:r>
        <w:rPr>
          <w:spacing w:val="12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concordo</w:t>
      </w:r>
      <w:r>
        <w:rPr>
          <w:spacing w:val="11"/>
        </w:rPr>
        <w:t xml:space="preserve"> </w:t>
      </w:r>
      <w:r>
        <w:rPr/>
        <w:t>com</w:t>
      </w:r>
      <w:r>
        <w:rPr>
          <w:spacing w:val="11"/>
        </w:rPr>
        <w:t xml:space="preserve"> </w:t>
      </w:r>
      <w:r>
        <w:rPr/>
        <w:t>os</w:t>
      </w:r>
      <w:r>
        <w:rPr>
          <w:spacing w:val="11"/>
        </w:rPr>
        <w:t xml:space="preserve"> </w:t>
      </w:r>
      <w:r>
        <w:rPr/>
        <w:t>termos</w:t>
      </w:r>
      <w:r>
        <w:rPr>
          <w:spacing w:val="10"/>
        </w:rPr>
        <w:t xml:space="preserve"> </w:t>
      </w:r>
      <w:r>
        <w:rPr/>
        <w:t>acima</w:t>
      </w:r>
      <w:r>
        <w:rPr>
          <w:spacing w:val="11"/>
        </w:rPr>
        <w:t xml:space="preserve"> </w:t>
      </w:r>
      <w:r>
        <w:rPr/>
        <w:t>mencionados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renuncio</w:t>
      </w:r>
      <w:r>
        <w:rPr>
          <w:spacing w:val="-53"/>
        </w:rPr>
        <w:t xml:space="preserve"> </w:t>
      </w:r>
      <w:r>
        <w:rPr/>
        <w:t>expressamente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meu</w:t>
      </w:r>
      <w:r>
        <w:rPr>
          <w:spacing w:val="-1"/>
        </w:rPr>
        <w:t xml:space="preserve"> </w:t>
      </w:r>
      <w:r>
        <w:rPr/>
        <w:t>direito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receber:</w:t>
      </w:r>
    </w:p>
    <w:p>
      <w:pPr>
        <w:pStyle w:val="BodyText"/>
        <w:widowControl w:val="false"/>
        <w:bidi w:val="0"/>
        <w:spacing w:lineRule="auto" w:line="240" w:before="93" w:after="0"/>
        <w:ind w:hanging="0" w:start="113" w:end="0"/>
        <w:jc w:val="start"/>
        <w:rPr/>
      </w:pPr>
      <w:r>
        <w:rPr>
          <w:spacing w:val="-1"/>
        </w:rPr>
        <w:t>(   )</w:t>
      </w:r>
      <w:r>
        <w:rPr>
          <w:spacing w:val="-10"/>
        </w:rPr>
        <w:t xml:space="preserve"> </w:t>
      </w:r>
      <w:r>
        <w:rPr>
          <w:spacing w:val="-1"/>
        </w:rPr>
        <w:t>Diárias</w:t>
      </w:r>
    </w:p>
    <w:p>
      <w:pPr>
        <w:pStyle w:val="BodyText"/>
        <w:widowControl w:val="false"/>
        <w:bidi w:val="0"/>
        <w:spacing w:lineRule="auto" w:line="240" w:before="93" w:after="0"/>
        <w:ind w:hanging="0" w:start="113" w:end="0"/>
        <w:jc w:val="start"/>
        <w:rPr>
          <w:spacing w:val="-53"/>
        </w:rPr>
      </w:pPr>
      <w:r>
        <w:rPr>
          <w:spacing w:val="-1"/>
        </w:rPr>
        <w:t xml:space="preserve">(   </w:t>
      </w:r>
      <w:r>
        <w:rPr>
          <w:spacing w:val="-1"/>
        </w:rPr>
        <w:t xml:space="preserve">) </w:t>
      </w:r>
      <w:r>
        <w:rPr>
          <w:spacing w:val="-12"/>
        </w:rPr>
        <w:t>Adicional</w:t>
      </w:r>
      <w:r>
        <w:rPr>
          <w:spacing w:val="-13"/>
        </w:rPr>
        <w:t xml:space="preserve"> </w:t>
      </w:r>
      <w:r>
        <w:rPr>
          <w:spacing w:val="-12"/>
        </w:rPr>
        <w:t>de Deslocamento</w:t>
      </w:r>
    </w:p>
    <w:p>
      <w:pPr>
        <w:pStyle w:val="BodyText"/>
        <w:widowControl w:val="false"/>
        <w:bidi w:val="0"/>
        <w:spacing w:lineRule="auto" w:line="240" w:before="93" w:after="0"/>
        <w:ind w:hanging="0" w:start="113" w:end="0"/>
        <w:jc w:val="start"/>
        <w:rPr/>
      </w:pPr>
      <w:r>
        <w:rPr/>
        <w:t>(   ) Passagem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Ida</w:t>
      </w:r>
    </w:p>
    <w:p>
      <w:pPr>
        <w:pStyle w:val="BodyText"/>
        <w:widowControl w:val="false"/>
        <w:bidi w:val="0"/>
        <w:spacing w:lineRule="auto" w:line="240" w:before="93" w:after="0"/>
        <w:ind w:hanging="0" w:start="113" w:end="0"/>
        <w:jc w:val="start"/>
        <w:rPr/>
      </w:pPr>
      <w:r>
        <w:rPr/>
        <w:t>(   )</w:t>
      </w:r>
      <w:r>
        <w:rPr>
          <w:spacing w:val="-1"/>
        </w:rPr>
        <w:t xml:space="preserve"> </w:t>
      </w:r>
      <w:r>
        <w:rPr/>
        <w:t>Passagem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Volta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lineRule="auto" w:line="240"/>
        <w:ind w:hanging="0" w:start="117" w:end="0"/>
        <w:rPr/>
      </w:pPr>
      <w:r>
        <w:rPr/>
        <w:t>MOTIVO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RENÚNCIA (</w:t>
      </w:r>
      <w:r>
        <w:rPr>
          <w:sz w:val="14"/>
          <w:szCs w:val="14"/>
        </w:rPr>
        <w:t>razão pela qual o pedido se restringe à parte solicitada</w:t>
      </w:r>
      <w:r>
        <w:rPr/>
        <w:t>):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146"/>
      </w:tblGrid>
      <w:tr>
        <w:trPr/>
        <w:tc>
          <w:tcPr>
            <w:tcW w:w="10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</w:tbl>
    <w:p>
      <w:pPr>
        <w:pStyle w:val="BodyText"/>
        <w:spacing w:lineRule="auto" w:line="240"/>
        <w:ind w:hanging="0" w:start="117" w:end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1" w:after="0"/>
        <w:ind w:hanging="0" w:start="117" w:end="0"/>
        <w:jc w:val="start"/>
        <w:rPr/>
      </w:pPr>
      <w:r>
        <w:rPr>
          <w:sz w:val="20"/>
        </w:rPr>
        <w:t>MISSÃO</w:t>
      </w:r>
      <w:r>
        <w:rPr>
          <w:spacing w:val="-2"/>
          <w:sz w:val="20"/>
        </w:rPr>
        <w:t xml:space="preserve"> </w:t>
      </w:r>
      <w:r>
        <w:rPr>
          <w:sz w:val="14"/>
        </w:rPr>
        <w:t>(descrição do objetivo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z w:val="14"/>
        </w:rPr>
        <w:t>viagem)</w:t>
      </w:r>
      <w:r>
        <w:rPr>
          <w:sz w:val="20"/>
        </w:rPr>
        <w:t>: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146"/>
      </w:tblGrid>
      <w:tr>
        <w:trPr/>
        <w:tc>
          <w:tcPr>
            <w:tcW w:w="10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</w:tbl>
    <w:p>
      <w:pPr>
        <w:pStyle w:val="BodyText"/>
        <w:spacing w:lineRule="auto" w:line="240" w:before="1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start="117" w:end="0"/>
        <w:jc w:val="start"/>
        <w:rPr/>
      </w:pP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14"/>
        </w:rPr>
        <w:t>(data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início</w:t>
      </w:r>
      <w:r>
        <w:rPr>
          <w:spacing w:val="-3"/>
          <w:sz w:val="14"/>
        </w:rPr>
        <w:t xml:space="preserve"> </w:t>
      </w:r>
      <w:r>
        <w:rPr>
          <w:sz w:val="14"/>
        </w:rPr>
        <w:t>até</w:t>
      </w:r>
      <w:r>
        <w:rPr>
          <w:spacing w:val="-3"/>
          <w:sz w:val="14"/>
        </w:rPr>
        <w:t xml:space="preserve"> </w:t>
      </w:r>
      <w:r>
        <w:rPr>
          <w:sz w:val="14"/>
        </w:rPr>
        <w:t>data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retorno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3"/>
          <w:sz w:val="14"/>
        </w:rPr>
        <w:t xml:space="preserve"> </w:t>
      </w:r>
      <w:r>
        <w:rPr>
          <w:sz w:val="14"/>
        </w:rPr>
        <w:t>viagem)</w:t>
      </w:r>
      <w:r>
        <w:rPr>
          <w:sz w:val="20"/>
        </w:rPr>
        <w:t>: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146"/>
      </w:tblGrid>
      <w:tr>
        <w:trPr/>
        <w:tc>
          <w:tcPr>
            <w:tcW w:w="10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</w:tbl>
    <w:p>
      <w:pPr>
        <w:pStyle w:val="BodyText"/>
        <w:spacing w:lineRule="auto" w:line="240" w:before="11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ind w:hanging="0" w:start="117" w:end="0"/>
        <w:jc w:val="start"/>
        <w:rPr/>
      </w:pPr>
      <w:r>
        <w:rPr>
          <w:sz w:val="20"/>
        </w:rPr>
        <w:t>PERCURSO</w:t>
      </w:r>
      <w:r>
        <w:rPr>
          <w:spacing w:val="-1"/>
          <w:sz w:val="20"/>
        </w:rPr>
        <w:t xml:space="preserve"> </w:t>
      </w:r>
      <w:r>
        <w:rPr>
          <w:sz w:val="14"/>
        </w:rPr>
        <w:t>(itinerários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ida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volta)</w:t>
      </w:r>
      <w:r>
        <w:rPr>
          <w:sz w:val="20"/>
        </w:rPr>
        <w:t>: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146"/>
      </w:tblGrid>
      <w:tr>
        <w:trPr/>
        <w:tc>
          <w:tcPr>
            <w:tcW w:w="10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</w:tbl>
    <w:p>
      <w:pPr>
        <w:pStyle w:val="BodyText"/>
        <w:spacing w:lineRule="auto" w:line="240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ragraph">
                  <wp:posOffset>216535</wp:posOffset>
                </wp:positionV>
                <wp:extent cx="2804795" cy="1905"/>
                <wp:effectExtent l="4445" t="4445" r="4445" b="4445"/>
                <wp:wrapTopAndBottom/>
                <wp:docPr id="4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60" cy="180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7.2pt,17.05pt" to="408pt,17.1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50" w:after="0"/>
        <w:ind w:hanging="0" w:start="1421" w:end="1385"/>
        <w:jc w:val="center"/>
        <w:rPr>
          <w:sz w:val="16"/>
          <w:szCs w:val="16"/>
        </w:rPr>
      </w:pPr>
      <w:r>
        <w:rPr>
          <w:sz w:val="16"/>
          <w:szCs w:val="16"/>
        </w:rPr>
        <w:t>Assinatura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do(a)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Beneficiário(a)</w:t>
      </w:r>
    </w:p>
    <w:sectPr>
      <w:type w:val="nextPage"/>
      <w:pgSz w:w="11906" w:h="16838"/>
      <w:pgMar w:left="1020" w:right="740" w:gutter="0" w:header="0" w:top="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ind w:hanging="0" w:start="1425" w:end="1385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LibreOffice/25.8.5.2$Windows_X86_64 LibreOffice_project/9c8b85f387cc00a89945a79c9e6239f32e450ac2</Application>
  <AppVersion>15.0000</AppVersion>
  <Pages>1</Pages>
  <Words>250</Words>
  <Characters>1392</Characters>
  <CharactersWithSpaces>1634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2024-12-05T17:56:41Z</dcterms:created>
  <dc:creator/>
  <dc:description/>
  <dc:language>pt-BR</dc:language>
  <cp:lastModifiedBy/>
  <dcterms:modified xsi:type="dcterms:W3CDTF">2026-04-29T14:26:08Z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</Properties>
</file>